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51"/>
        <w:jc w:val="left"/>
        <w:textAlignment w:val="auto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right="51"/>
        <w:jc w:val="center"/>
        <w:textAlignment w:val="auto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高等数学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、大学物理</w:t>
      </w:r>
      <w:r>
        <w:rPr>
          <w:rFonts w:hint="default" w:ascii="Times New Roman" w:hAnsi="Times New Roman" w:eastAsia="黑体" w:cs="Times New Roman"/>
          <w:sz w:val="36"/>
          <w:szCs w:val="36"/>
        </w:rPr>
        <w:t>认定及补修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表</w:t>
      </w:r>
    </w:p>
    <w:tbl>
      <w:tblPr>
        <w:tblStyle w:val="2"/>
        <w:tblW w:w="90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491"/>
        <w:gridCol w:w="3151"/>
        <w:gridCol w:w="457"/>
        <w:gridCol w:w="2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已修课程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现专业应修课程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应补修课程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6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2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上）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4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2（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上）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上）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大学物理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大学物理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上）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大学物理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大学物理实验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大学物理实验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上）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大学物理实验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1（</w:t>
            </w:r>
            <w:r>
              <w:rPr>
                <w:rStyle w:val="8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下</w:t>
            </w:r>
            <w:r>
              <w:rPr>
                <w:rStyle w:val="7"/>
                <w:rFonts w:hint="default" w:ascii="Times New Roman" w:hAnsi="Times New Roman" w:cs="Times New Roman" w:eastAsiaTheme="minorEastAsia"/>
                <w:color w:val="auto"/>
                <w:lang w:val="en-US" w:eastAsia="zh-CN" w:bidi="ar"/>
              </w:rPr>
              <w:t>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NDc5YWZlZWJkYjc4MGNjMzc2ZTQzNGNlN2QxMzIifQ=="/>
  </w:docVars>
  <w:rsids>
    <w:rsidRoot w:val="27D62206"/>
    <w:rsid w:val="27D62206"/>
    <w:rsid w:val="4FD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ascii="Calibri" w:hAnsi="Calibri" w:cs="Calibri"/>
      <w:color w:val="333333"/>
      <w:sz w:val="24"/>
      <w:szCs w:val="24"/>
      <w:u w:val="none"/>
    </w:rPr>
  </w:style>
  <w:style w:type="character" w:customStyle="1" w:styleId="8">
    <w:name w:val="font61"/>
    <w:basedOn w:val="3"/>
    <w:uiPriority w:val="0"/>
    <w:rPr>
      <w:rFonts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2024-03-30T02:45:00Z</dcterms:created>
  <dc:creator>＆风筝、断弦</dc:creator>
  <cp:lastModifiedBy>＆风筝、断弦</cp:lastModifiedBy>
  <dcterms:modified xsi:type="dcterms:W3CDTF">2024-03-30T05:47:13Z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16A5D878E38B42C69874866B16D0B3EE_11</vt:lpwstr>
  </property>
</Properties>
</file>